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Del metate a la tablilla</w:t>
      </w:r>
      <w:r w:rsidDel="00000000" w:rsidR="00000000" w:rsidRPr="00000000">
        <w:rPr>
          <w:b w:val="1"/>
          <w:sz w:val="28"/>
          <w:szCs w:val="28"/>
          <w:rtl w:val="0"/>
        </w:rPr>
        <w:t xml:space="preserve">: el taller ideal para los amantes del chocolate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</w:t>
      </w:r>
      <w:r w:rsidDel="00000000" w:rsidR="00000000" w:rsidRPr="00000000">
        <w:rPr>
          <w:b w:val="1"/>
          <w:highlight w:val="white"/>
          <w:rtl w:val="0"/>
        </w:rPr>
        <w:t xml:space="preserve">7  </w:t>
      </w:r>
      <w:r w:rsidDel="00000000" w:rsidR="00000000" w:rsidRPr="00000000">
        <w:rPr>
          <w:b w:val="1"/>
          <w:rtl w:val="0"/>
        </w:rPr>
        <w:t xml:space="preserve">de agosto de 2019</w:t>
      </w:r>
      <w:r w:rsidDel="00000000" w:rsidR="00000000" w:rsidRPr="00000000">
        <w:rPr>
          <w:rtl w:val="0"/>
        </w:rPr>
        <w:t xml:space="preserve">.- Para celebrar el más reciente reconocimiento otorgado su libro</w:t>
      </w:r>
      <w:r w:rsidDel="00000000" w:rsidR="00000000" w:rsidRPr="00000000">
        <w:rPr>
          <w:i w:val="1"/>
          <w:rtl w:val="0"/>
        </w:rPr>
        <w:t xml:space="preserve"> El cacao, alimento divino</w:t>
      </w:r>
      <w:r w:rsidDel="00000000" w:rsidR="00000000" w:rsidRPr="00000000">
        <w:rPr>
          <w:rtl w:val="0"/>
        </w:rPr>
        <w:t xml:space="preserve">, Fundación Herdez realizará los próximos 10 y 17 de agosto el curso </w:t>
      </w:r>
      <w:r w:rsidDel="00000000" w:rsidR="00000000" w:rsidRPr="00000000">
        <w:rPr>
          <w:i w:val="1"/>
          <w:rtl w:val="0"/>
        </w:rPr>
        <w:t xml:space="preserve">Del metate a la tablilla</w:t>
      </w:r>
      <w:r w:rsidDel="00000000" w:rsidR="00000000" w:rsidRPr="00000000">
        <w:rPr>
          <w:rtl w:val="0"/>
        </w:rPr>
        <w:t xml:space="preserve">, en el que los asistentes aprenderán el proceso que va del tostado, el molido del cacao hasta la creación de las tablillas de chocolates en moldes. 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Este taller surgió para continuar con las actividades alrededor del libro </w:t>
      </w:r>
      <w:r w:rsidDel="00000000" w:rsidR="00000000" w:rsidRPr="00000000">
        <w:rPr>
          <w:i w:val="1"/>
          <w:rtl w:val="0"/>
        </w:rPr>
        <w:t xml:space="preserve">El cacao, alimento divino</w:t>
      </w:r>
      <w:r w:rsidDel="00000000" w:rsidR="00000000" w:rsidRPr="00000000">
        <w:rPr>
          <w:rtl w:val="0"/>
        </w:rPr>
        <w:t xml:space="preserve">, octavo título de la colección </w:t>
      </w:r>
      <w:r w:rsidDel="00000000" w:rsidR="00000000" w:rsidRPr="00000000">
        <w:rPr>
          <w:i w:val="1"/>
          <w:rtl w:val="0"/>
        </w:rPr>
        <w:t xml:space="preserve">Tonacayotl: nuestro sustento,</w:t>
      </w:r>
      <w:r w:rsidDel="00000000" w:rsidR="00000000" w:rsidRPr="00000000">
        <w:rPr>
          <w:rtl w:val="0"/>
        </w:rPr>
        <w:t xml:space="preserve"> editada por Fundación Herdez, el cual fue considerado hace algunas semanas como el mejor libro en la categoría </w:t>
      </w:r>
      <w:r w:rsidDel="00000000" w:rsidR="00000000" w:rsidRPr="00000000">
        <w:rPr>
          <w:rtl w:val="0"/>
        </w:rPr>
        <w:t xml:space="preserve">sobre el chocolate en los premios que otorga el GOURMAND  WORLD COOKBOOK AWARDS 2019, en Macao, China.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Del metate a la tablilla</w:t>
      </w:r>
      <w:r w:rsidDel="00000000" w:rsidR="00000000" w:rsidRPr="00000000">
        <w:rPr>
          <w:rtl w:val="0"/>
        </w:rPr>
        <w:t xml:space="preserve"> se realizará los sábados 10 y 17 de agosto en la sede de Fundación Herdez, ubicada en Seminario 18, en el Centro Histórico de la CDMX,  en un horario de las 9:00 a las 13:00 horas y tendrá un costo de $350.00 pesos.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más información, sigue nuestras redes sociales: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/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/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Acerca de Fundación Herdez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Fundación Herdez, A.C. es una asociación filantrópica sin fines de lucro que fue creada para brindar un servicio a la sociedad civil de nuestro país. Fue fundada en la Ciudad de México en 1988 por don Enrique Hernández-Pons. La sede se encuentra en el Centro Histórico y su campo de acción abarca toda la República Mexicana. Sus objetivos responden a una visión institucional cuya misión y estrategias están orientadas a la realización de proyectos sociales, educativos, culturales, científicos y tecnológicos en el campo alimentario.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CONTACTO DE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PRENSA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Pablo Navarrete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pablo.navarrete@another.co</w:t>
        <w:br w:type="textWrapping"/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43175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768" l="0" r="0" t="22448"/>
                  <a:stretch>
                    <a:fillRect/>
                  </a:stretch>
                </pic:blipFill>
                <pic:spPr>
                  <a:xfrm>
                    <a:off x="0" y="0"/>
                    <a:ext cx="254317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Fundaci%C3%B3n-Herdez-AC-187297011323266/" TargetMode="External"/><Relationship Id="rId7" Type="http://schemas.openxmlformats.org/officeDocument/2006/relationships/hyperlink" Target="https://www.youtube.com/channel/UCDWei_PNViQ4M0BopdMGUH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